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C1AD4" w14:textId="5DE268F5" w:rsidR="00F170EB" w:rsidRPr="00F170EB" w:rsidRDefault="00387AA6" w:rsidP="00F170EB">
      <w:pPr>
        <w:tabs>
          <w:tab w:val="left" w:pos="1985"/>
        </w:tabs>
        <w:spacing w:after="0"/>
        <w:ind w:left="0" w:firstLine="0"/>
        <w:rPr>
          <w:rFonts w:ascii="Arial" w:hAnsi="Arial" w:cs="Arial"/>
          <w:b/>
          <w:bCs/>
          <w:sz w:val="28"/>
        </w:rPr>
      </w:pPr>
      <w:r>
        <w:rPr>
          <w:rFonts w:ascii="Arial" w:hAnsi="Arial" w:cs="Arial"/>
          <w:b/>
          <w:bCs/>
          <w:sz w:val="28"/>
        </w:rPr>
        <w:t>3GPP TSG RAN WG1 #99</w:t>
      </w:r>
      <w:r w:rsidR="00F170EB" w:rsidRPr="00F170EB">
        <w:rPr>
          <w:rFonts w:ascii="Arial" w:hAnsi="Arial" w:cs="Arial"/>
          <w:b/>
          <w:bCs/>
          <w:sz w:val="28"/>
        </w:rPr>
        <w:tab/>
      </w:r>
      <w:r w:rsidR="00F170EB" w:rsidRPr="00F170EB">
        <w:rPr>
          <w:rFonts w:ascii="Arial" w:hAnsi="Arial" w:cs="Arial"/>
          <w:b/>
          <w:bCs/>
          <w:sz w:val="28"/>
        </w:rPr>
        <w:tab/>
      </w:r>
      <w:r w:rsidR="00F170EB" w:rsidRPr="00F170EB">
        <w:rPr>
          <w:rFonts w:ascii="Arial" w:hAnsi="Arial" w:cs="Arial"/>
          <w:b/>
          <w:bCs/>
          <w:sz w:val="28"/>
        </w:rPr>
        <w:tab/>
      </w:r>
      <w:r w:rsidR="00F170EB" w:rsidRPr="00F170EB">
        <w:rPr>
          <w:rFonts w:ascii="Arial" w:hAnsi="Arial" w:cs="Arial"/>
          <w:b/>
          <w:bCs/>
          <w:sz w:val="28"/>
        </w:rPr>
        <w:tab/>
      </w:r>
      <w:r w:rsidR="00F170EB" w:rsidRPr="00F170EB">
        <w:rPr>
          <w:rFonts w:ascii="Arial" w:hAnsi="Arial" w:cs="Arial"/>
          <w:b/>
          <w:bCs/>
          <w:sz w:val="28"/>
        </w:rPr>
        <w:tab/>
      </w:r>
      <w:r w:rsidR="00F170EB" w:rsidRPr="00F170EB">
        <w:rPr>
          <w:rFonts w:ascii="Arial" w:hAnsi="Arial" w:cs="Arial"/>
          <w:b/>
          <w:bCs/>
          <w:sz w:val="28"/>
        </w:rPr>
        <w:tab/>
        <w:t>R1-</w:t>
      </w:r>
      <w:r w:rsidR="00712A10" w:rsidRPr="00F170EB">
        <w:rPr>
          <w:rFonts w:ascii="Arial" w:hAnsi="Arial" w:cs="Arial"/>
          <w:b/>
          <w:bCs/>
          <w:sz w:val="28"/>
        </w:rPr>
        <w:t>19</w:t>
      </w:r>
      <w:r w:rsidR="00712A10">
        <w:rPr>
          <w:rFonts w:ascii="Arial" w:hAnsi="Arial" w:cs="Arial"/>
          <w:b/>
          <w:bCs/>
          <w:sz w:val="28"/>
        </w:rPr>
        <w:t>12401</w:t>
      </w:r>
    </w:p>
    <w:p w14:paraId="2C83BDF5" w14:textId="2C8D3A66" w:rsidR="0093135E" w:rsidRPr="00387AA6" w:rsidRDefault="00387AA6" w:rsidP="00387AA6">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Reno, USA, November 18</w:t>
      </w:r>
      <w:r>
        <w:rPr>
          <w:rFonts w:ascii="Arial" w:hAnsi="Arial" w:cs="Arial"/>
          <w:b/>
          <w:bCs/>
          <w:sz w:val="28"/>
          <w:vertAlign w:val="superscript"/>
          <w:lang w:eastAsia="ja-JP"/>
        </w:rPr>
        <w:t>th</w:t>
      </w:r>
      <w:r>
        <w:rPr>
          <w:rFonts w:ascii="Arial" w:hAnsi="Arial" w:cs="Arial"/>
          <w:b/>
          <w:bCs/>
          <w:sz w:val="28"/>
          <w:lang w:eastAsia="ja-JP"/>
        </w:rPr>
        <w:t xml:space="preserve"> – 22</w:t>
      </w:r>
      <w:r>
        <w:rPr>
          <w:rFonts w:ascii="Arial" w:hAnsi="Arial" w:cs="Arial"/>
          <w:b/>
          <w:bCs/>
          <w:sz w:val="28"/>
          <w:vertAlign w:val="superscript"/>
          <w:lang w:eastAsia="ja-JP"/>
        </w:rPr>
        <w:t>nd</w:t>
      </w:r>
      <w:r>
        <w:rPr>
          <w:rFonts w:ascii="Arial" w:hAnsi="Arial" w:cs="Arial"/>
          <w:b/>
          <w:bCs/>
          <w:sz w:val="28"/>
          <w:lang w:eastAsia="ja-JP"/>
        </w:rPr>
        <w:t>, 2019</w:t>
      </w:r>
    </w:p>
    <w:p w14:paraId="1DA2E8F8" w14:textId="74A93795"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B44B53">
        <w:rPr>
          <w:rFonts w:ascii="Arial" w:eastAsia="맑은 고딕" w:hAnsi="Arial"/>
          <w:sz w:val="24"/>
          <w:lang w:val="en-US" w:eastAsia="ko-KR"/>
        </w:rPr>
        <w:t>7.2.6.6</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7CB6DDF7"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B44B53" w:rsidRPr="00B44B53">
        <w:rPr>
          <w:rFonts w:ascii="Arial" w:hAnsi="Arial"/>
          <w:sz w:val="24"/>
        </w:rPr>
        <w:t>Enhanced UL configured grant transmission for NR URLLC</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0CB2FA96" w14:textId="186B8C28" w:rsidR="001B635E" w:rsidRDefault="00295DA9" w:rsidP="00797AE7">
      <w:pPr>
        <w:pStyle w:val="Doc"/>
        <w:rPr>
          <w:lang w:val="en-GB"/>
        </w:rPr>
      </w:pPr>
      <w:r>
        <w:rPr>
          <w:lang w:val="en-GB"/>
        </w:rPr>
        <w:t>In RAN1#</w:t>
      </w:r>
      <w:r w:rsidR="00B44B53">
        <w:rPr>
          <w:lang w:val="en-GB"/>
        </w:rPr>
        <w:t>9</w:t>
      </w:r>
      <w:r w:rsidR="004C50CA">
        <w:rPr>
          <w:lang w:val="en-GB"/>
        </w:rPr>
        <w:t>8</w:t>
      </w:r>
      <w:r w:rsidR="006A61F4">
        <w:rPr>
          <w:lang w:val="en-GB"/>
        </w:rPr>
        <w:t xml:space="preserve"> and RAN1#98bis</w:t>
      </w:r>
      <w:r w:rsidR="00AB1A7F">
        <w:rPr>
          <w:lang w:val="en-GB"/>
        </w:rPr>
        <w:t>, followings</w:t>
      </w:r>
      <w:r w:rsidR="00797AE7">
        <w:rPr>
          <w:lang w:val="en-GB"/>
        </w:rPr>
        <w:t xml:space="preserve"> has been agreed for grant-free transmission </w:t>
      </w:r>
      <w:r w:rsidR="001A0C8A">
        <w:rPr>
          <w:lang w:val="en-GB"/>
        </w:rPr>
        <w:t>[1</w:t>
      </w:r>
      <w:r w:rsidR="00B56478">
        <w:rPr>
          <w:lang w:val="en-GB"/>
        </w:rPr>
        <w:t>-2</w:t>
      </w:r>
      <w:r w:rsidR="001A0C8A">
        <w:rPr>
          <w:lang w:val="en-GB"/>
        </w:rPr>
        <w:t>]</w:t>
      </w:r>
      <w:r w:rsidR="001B635E">
        <w:rPr>
          <w:lang w:val="en-GB"/>
        </w:rPr>
        <w:t>:</w:t>
      </w:r>
    </w:p>
    <w:tbl>
      <w:tblPr>
        <w:tblStyle w:val="a7"/>
        <w:tblW w:w="0" w:type="auto"/>
        <w:tblLook w:val="04A0" w:firstRow="1" w:lastRow="0" w:firstColumn="1" w:lastColumn="0" w:noHBand="0" w:noVBand="1"/>
      </w:tblPr>
      <w:tblGrid>
        <w:gridCol w:w="9628"/>
      </w:tblGrid>
      <w:tr w:rsidR="00680C92" w14:paraId="2E2E1E4F" w14:textId="77777777" w:rsidTr="00680C92">
        <w:tc>
          <w:tcPr>
            <w:tcW w:w="9628" w:type="dxa"/>
          </w:tcPr>
          <w:p w14:paraId="28927923" w14:textId="77777777" w:rsidR="00680C92" w:rsidRPr="00680C92" w:rsidRDefault="00680C92" w:rsidP="002A5EBD">
            <w:pPr>
              <w:pStyle w:val="agreementHEAD"/>
            </w:pPr>
            <w:r w:rsidRPr="00680C92">
              <w:rPr>
                <w:highlight w:val="green"/>
              </w:rPr>
              <w:t>Agreements</w:t>
            </w:r>
            <w:r w:rsidRPr="00680C92">
              <w:t>:</w:t>
            </w:r>
          </w:p>
          <w:p w14:paraId="163DF6DA" w14:textId="77777777" w:rsidR="00680C92" w:rsidRPr="00680C92" w:rsidRDefault="00680C92" w:rsidP="00680C92">
            <w:pPr>
              <w:widowControl w:val="0"/>
              <w:numPr>
                <w:ilvl w:val="0"/>
                <w:numId w:val="69"/>
              </w:numPr>
              <w:spacing w:before="0" w:afterLines="50" w:line="240" w:lineRule="auto"/>
              <w:jc w:val="left"/>
              <w:rPr>
                <w:rFonts w:eastAsia="바탕" w:cs="Times"/>
                <w:lang w:eastAsia="x-none"/>
              </w:rPr>
            </w:pPr>
            <w:r w:rsidRPr="00680C92">
              <w:rPr>
                <w:rFonts w:eastAsia="바탕" w:cs="Times"/>
                <w:lang w:eastAsia="x-none"/>
              </w:rPr>
              <w:t>Support DCI format 0-0, 0-1 and new DCI format scheduling PUSCH for Rel.16 Type 2 CG activation.</w:t>
            </w:r>
          </w:p>
          <w:p w14:paraId="04D544FB" w14:textId="398945A4" w:rsidR="00680C92" w:rsidRPr="00680C92" w:rsidRDefault="00680C92" w:rsidP="002A5EBD">
            <w:pPr>
              <w:pStyle w:val="agreementHEAD"/>
            </w:pPr>
            <w:r w:rsidRPr="00680C92">
              <w:rPr>
                <w:highlight w:val="green"/>
              </w:rPr>
              <w:t>Agreements</w:t>
            </w:r>
            <w:r w:rsidRPr="00680C92">
              <w:t>:</w:t>
            </w:r>
          </w:p>
          <w:p w14:paraId="04C3FBE6" w14:textId="77777777" w:rsidR="00680C92" w:rsidRPr="00680C92" w:rsidRDefault="00680C92" w:rsidP="00680C92">
            <w:pPr>
              <w:widowControl w:val="0"/>
              <w:numPr>
                <w:ilvl w:val="0"/>
                <w:numId w:val="69"/>
              </w:numPr>
              <w:spacing w:before="0" w:afterLines="50" w:line="240" w:lineRule="auto"/>
              <w:jc w:val="left"/>
              <w:rPr>
                <w:rFonts w:eastAsia="바탕" w:cs="Times"/>
                <w:lang w:eastAsia="x-none"/>
              </w:rPr>
            </w:pPr>
            <w:r w:rsidRPr="00680C92">
              <w:rPr>
                <w:rFonts w:eastAsia="바탕" w:cs="Times"/>
                <w:lang w:eastAsia="x-none"/>
              </w:rPr>
              <w:t>At least HPN field in the new UL DCI format is used to indicate which configuration is to be activated and/or which configuration(s) is/are to be released.</w:t>
            </w:r>
          </w:p>
          <w:p w14:paraId="6DA34832" w14:textId="77777777" w:rsidR="00680C92" w:rsidRPr="00680C92" w:rsidRDefault="00680C92" w:rsidP="00680C92">
            <w:pPr>
              <w:widowControl w:val="0"/>
              <w:numPr>
                <w:ilvl w:val="1"/>
                <w:numId w:val="69"/>
              </w:numPr>
              <w:spacing w:before="0" w:afterLines="50" w:line="240" w:lineRule="auto"/>
              <w:jc w:val="left"/>
              <w:rPr>
                <w:rFonts w:eastAsia="바탕" w:cs="Times"/>
                <w:lang w:eastAsia="x-none"/>
              </w:rPr>
            </w:pPr>
            <w:r w:rsidRPr="00680C92">
              <w:rPr>
                <w:rFonts w:eastAsia="바탕" w:cs="Times"/>
                <w:lang w:eastAsia="x-none"/>
              </w:rPr>
              <w:t>FFS other field(s) whether/if the number of bits for HPN field is smaller than M.</w:t>
            </w:r>
          </w:p>
          <w:p w14:paraId="2C15955C" w14:textId="77777777" w:rsidR="00680C92" w:rsidRPr="00680C92" w:rsidRDefault="00680C92" w:rsidP="00680C92">
            <w:pPr>
              <w:widowControl w:val="0"/>
              <w:numPr>
                <w:ilvl w:val="1"/>
                <w:numId w:val="69"/>
              </w:numPr>
              <w:spacing w:before="0" w:afterLines="50" w:line="240" w:lineRule="auto"/>
              <w:jc w:val="left"/>
              <w:rPr>
                <w:rFonts w:eastAsia="바탕" w:cs="Times"/>
                <w:lang w:eastAsia="x-none"/>
              </w:rPr>
            </w:pPr>
            <w:r w:rsidRPr="00680C92">
              <w:rPr>
                <w:rFonts w:eastAsia="바탕" w:cs="Times"/>
                <w:lang w:eastAsia="x-none"/>
              </w:rPr>
              <w:t>FFS the impacts on the false alarm for activation/release DCI validation.</w:t>
            </w:r>
          </w:p>
          <w:p w14:paraId="530FB32D" w14:textId="77777777" w:rsidR="00680C92" w:rsidRPr="00680C92" w:rsidRDefault="00680C92" w:rsidP="002A5EBD">
            <w:pPr>
              <w:pStyle w:val="agreementHEAD"/>
            </w:pPr>
            <w:r w:rsidRPr="00680C92">
              <w:rPr>
                <w:highlight w:val="green"/>
              </w:rPr>
              <w:t>Agreements</w:t>
            </w:r>
            <w:r w:rsidRPr="00680C92">
              <w:t>:</w:t>
            </w:r>
          </w:p>
          <w:p w14:paraId="1C59AD80" w14:textId="77777777" w:rsidR="00680C92" w:rsidRPr="00680C92" w:rsidRDefault="00680C92" w:rsidP="00680C92">
            <w:pPr>
              <w:widowControl w:val="0"/>
              <w:numPr>
                <w:ilvl w:val="0"/>
                <w:numId w:val="69"/>
              </w:numPr>
              <w:spacing w:before="0" w:afterLines="50" w:line="240" w:lineRule="auto"/>
              <w:jc w:val="left"/>
              <w:rPr>
                <w:rFonts w:eastAsia="바탕" w:cs="Times"/>
                <w:lang w:eastAsia="x-none"/>
              </w:rPr>
            </w:pPr>
            <w:r w:rsidRPr="00680C92">
              <w:rPr>
                <w:rFonts w:eastAsia="바탕" w:cs="Times"/>
                <w:lang w:eastAsia="x-none"/>
              </w:rPr>
              <w:t xml:space="preserve">The new UL DCI format with CRC scrambled by CS-RNTI and the new UL DCI format with CRC scrambled by C-RNTI should have the same total DCI size. </w:t>
            </w:r>
          </w:p>
          <w:p w14:paraId="3761CD69" w14:textId="77777777" w:rsidR="00680C92" w:rsidRPr="00680C92" w:rsidRDefault="00680C92" w:rsidP="00680C92">
            <w:pPr>
              <w:widowControl w:val="0"/>
              <w:spacing w:before="0" w:afterLines="50" w:line="240" w:lineRule="auto"/>
              <w:ind w:left="0" w:firstLine="0"/>
              <w:rPr>
                <w:rFonts w:eastAsia="바탕" w:cs="Times"/>
                <w:lang w:eastAsia="x-none"/>
              </w:rPr>
            </w:pPr>
            <w:r w:rsidRPr="00680C92">
              <w:rPr>
                <w:rFonts w:eastAsia="바탕" w:cs="Times"/>
                <w:highlight w:val="green"/>
                <w:lang w:eastAsia="x-none"/>
              </w:rPr>
              <w:t>Agreements</w:t>
            </w:r>
            <w:r w:rsidRPr="00680C92">
              <w:rPr>
                <w:rFonts w:eastAsia="바탕" w:cs="Times"/>
                <w:lang w:eastAsia="x-none"/>
              </w:rPr>
              <w:t>:</w:t>
            </w:r>
          </w:p>
          <w:p w14:paraId="3E11FAAE" w14:textId="77777777" w:rsidR="00680C92" w:rsidRPr="00680C92" w:rsidRDefault="00680C92" w:rsidP="00680C92">
            <w:pPr>
              <w:widowControl w:val="0"/>
              <w:numPr>
                <w:ilvl w:val="0"/>
                <w:numId w:val="69"/>
              </w:numPr>
              <w:spacing w:before="0" w:afterLines="50" w:line="240" w:lineRule="auto"/>
              <w:jc w:val="left"/>
              <w:rPr>
                <w:rFonts w:eastAsia="바탕" w:cs="Times"/>
                <w:lang w:eastAsia="x-none"/>
              </w:rPr>
            </w:pPr>
            <w:r w:rsidRPr="00680C92">
              <w:rPr>
                <w:rFonts w:eastAsia="바탕" w:cs="Times"/>
                <w:lang w:eastAsia="x-none"/>
              </w:rPr>
              <w:t>(</w:t>
            </w:r>
            <w:r w:rsidRPr="00680C92">
              <w:rPr>
                <w:rFonts w:eastAsia="바탕" w:cs="Times"/>
                <w:highlight w:val="darkYellow"/>
                <w:lang w:eastAsia="x-none"/>
              </w:rPr>
              <w:t>Working assumption</w:t>
            </w:r>
            <w:r w:rsidRPr="00680C92">
              <w:rPr>
                <w:rFonts w:eastAsia="바탕" w:cs="Times"/>
                <w:lang w:eastAsia="x-none"/>
              </w:rPr>
              <w:t>) Retransmission of the PUSCH scheduled by a new UL DCI format with CRC scrambled by CS-RNTI with NDI=1 shall follow the same higher layer configuration defined for dynamic PUSCH transmission associated with the new UL DCI format.</w:t>
            </w:r>
          </w:p>
          <w:p w14:paraId="52CAAE44" w14:textId="77777777" w:rsidR="00680C92" w:rsidRDefault="00680C92" w:rsidP="002A5EBD">
            <w:pPr>
              <w:pStyle w:val="agreementHEAD"/>
              <w:rPr>
                <w:rFonts w:eastAsia="바탕"/>
                <w:bCs/>
              </w:rPr>
            </w:pPr>
            <w:r>
              <w:rPr>
                <w:highlight w:val="green"/>
              </w:rPr>
              <w:t>Agreements</w:t>
            </w:r>
            <w:r>
              <w:rPr>
                <w:bCs/>
              </w:rPr>
              <w:t>:</w:t>
            </w:r>
          </w:p>
          <w:p w14:paraId="0E38A567" w14:textId="078DACF1" w:rsidR="00680C92" w:rsidRPr="002A5EBD" w:rsidRDefault="00680C92" w:rsidP="002A5EBD">
            <w:pPr>
              <w:pStyle w:val="ad"/>
              <w:widowControl w:val="0"/>
              <w:numPr>
                <w:ilvl w:val="1"/>
                <w:numId w:val="69"/>
              </w:numPr>
              <w:wordWrap/>
              <w:autoSpaceDE/>
              <w:autoSpaceDN/>
              <w:spacing w:before="0" w:afterLines="50" w:after="180" w:line="240" w:lineRule="auto"/>
              <w:ind w:leftChars="0"/>
              <w:rPr>
                <w:rFonts w:ascii="Times New Roman" w:hAnsi="Times New Roman"/>
                <w:iCs/>
              </w:rPr>
            </w:pPr>
            <w:r>
              <w:rPr>
                <w:rFonts w:ascii="Times New Roman" w:hAnsi="Times New Roman"/>
                <w:iCs/>
              </w:rPr>
              <w:t>M is determined by the bit length for HPN field for each DCI format for activation and release of Type 2 CG</w:t>
            </w:r>
          </w:p>
        </w:tc>
      </w:tr>
    </w:tbl>
    <w:p w14:paraId="6BC057A9" w14:textId="51E164AF" w:rsidR="007E14D4" w:rsidRDefault="00E82A12" w:rsidP="00B44B53">
      <w:pPr>
        <w:pStyle w:val="Doc"/>
        <w:ind w:firstLineChars="0" w:firstLine="0"/>
      </w:pPr>
      <w:r>
        <w:t xml:space="preserve">In this contribution, we provide our views on </w:t>
      </w:r>
      <w:r w:rsidR="006A61F4">
        <w:t>enhanced UL configured grant</w:t>
      </w:r>
      <w:r>
        <w:t xml:space="preserve">. </w:t>
      </w:r>
      <w:r w:rsidR="000E17B0">
        <w:t xml:space="preserve">Specifically, we focus on </w:t>
      </w:r>
      <w:r w:rsidR="00B44B53">
        <w:t>how to facilitate “multiple active configured grant” and additional consideration point when adopted.</w:t>
      </w:r>
    </w:p>
    <w:p w14:paraId="3695FAF1" w14:textId="77777777" w:rsidR="005A7B52" w:rsidRPr="00F9108C" w:rsidRDefault="005A7B52" w:rsidP="001554E1">
      <w:pPr>
        <w:pStyle w:val="Proposal"/>
      </w:pPr>
    </w:p>
    <w:p w14:paraId="6DB7A8A5" w14:textId="7D91AFD8" w:rsidR="005A7B52" w:rsidRDefault="00890EBC" w:rsidP="005A7B52">
      <w:pPr>
        <w:pStyle w:val="10"/>
      </w:pPr>
      <w:r>
        <w:rPr>
          <w:rFonts w:hint="eastAsia"/>
        </w:rPr>
        <w:t xml:space="preserve">DCI handling for </w:t>
      </w:r>
      <w:r w:rsidR="003F1D6B">
        <w:t>activation/release Type 2 CG</w:t>
      </w:r>
    </w:p>
    <w:p w14:paraId="4F389C19" w14:textId="3799BB4E" w:rsidR="00F9108C" w:rsidRDefault="00F9108C" w:rsidP="001554E1">
      <w:pPr>
        <w:pStyle w:val="Doc"/>
      </w:pPr>
      <w:r>
        <w:rPr>
          <w:rFonts w:eastAsiaTheme="minorEastAsia"/>
          <w:lang w:val="en-GB"/>
        </w:rPr>
        <w:t xml:space="preserve">When multiple CG configuration is configured, </w:t>
      </w:r>
      <w:r w:rsidR="006926C3">
        <w:rPr>
          <w:rFonts w:eastAsiaTheme="minorEastAsia"/>
          <w:lang w:val="en-GB"/>
        </w:rPr>
        <w:t>UE may have to distinguish activation/release/re-transmission DCI from multiple configuration. Since different configuration could bring different DCI interpretation, it is necessary for UE to know which configuration is applied for received DCI.</w:t>
      </w:r>
    </w:p>
    <w:p w14:paraId="45E303A7" w14:textId="6ED1B24B" w:rsidR="00FD2920" w:rsidRDefault="006926C3">
      <w:pPr>
        <w:pStyle w:val="Doc"/>
      </w:pPr>
      <w:r>
        <w:rPr>
          <w:rFonts w:eastAsiaTheme="minorEastAsia"/>
          <w:lang w:val="en-GB"/>
        </w:rPr>
        <w:lastRenderedPageBreak/>
        <w:t xml:space="preserve">If </w:t>
      </w:r>
      <w:r w:rsidR="00601B57">
        <w:rPr>
          <w:rFonts w:eastAsiaTheme="minorEastAsia"/>
          <w:lang w:val="en-GB"/>
        </w:rPr>
        <w:t>certain field is</w:t>
      </w:r>
      <w:r>
        <w:rPr>
          <w:rFonts w:eastAsiaTheme="minorEastAsia"/>
          <w:lang w:val="en-GB"/>
        </w:rPr>
        <w:t xml:space="preserve"> exclusive for different configuration, UE can notice which configuration is applied</w:t>
      </w:r>
      <w:r w:rsidR="00601B57">
        <w:rPr>
          <w:rFonts w:eastAsiaTheme="minorEastAsia"/>
          <w:lang w:val="en-GB"/>
        </w:rPr>
        <w:t xml:space="preserve"> by this field</w:t>
      </w:r>
      <w:r>
        <w:rPr>
          <w:rFonts w:eastAsiaTheme="minorEastAsia"/>
          <w:lang w:val="en-GB"/>
        </w:rPr>
        <w:t xml:space="preserve">. </w:t>
      </w:r>
      <w:r w:rsidR="007B7A18">
        <w:rPr>
          <w:rFonts w:eastAsiaTheme="minorEastAsia"/>
          <w:lang w:val="en-GB"/>
        </w:rPr>
        <w:t xml:space="preserve">For an </w:t>
      </w:r>
      <w:r w:rsidR="002E2ED6">
        <w:rPr>
          <w:rFonts w:eastAsiaTheme="minorEastAsia"/>
          <w:lang w:val="en-GB"/>
        </w:rPr>
        <w:t xml:space="preserve">example, if </w:t>
      </w:r>
      <w:r w:rsidR="00870BB0">
        <w:rPr>
          <w:rFonts w:eastAsiaTheme="minorEastAsia"/>
          <w:lang w:val="en-GB"/>
        </w:rPr>
        <w:t xml:space="preserve">each CG configuration has a unique configuration index, </w:t>
      </w:r>
      <w:r w:rsidR="002E2ED6">
        <w:rPr>
          <w:rFonts w:eastAsiaTheme="minorEastAsia"/>
          <w:lang w:val="en-GB"/>
        </w:rPr>
        <w:t xml:space="preserve">HARQ process number field in a DCI can </w:t>
      </w:r>
      <w:r w:rsidR="00870BB0">
        <w:rPr>
          <w:rFonts w:eastAsiaTheme="minorEastAsia"/>
          <w:lang w:val="en-GB"/>
        </w:rPr>
        <w:t>indicate the index</w:t>
      </w:r>
      <w:r w:rsidR="002E2ED6">
        <w:rPr>
          <w:rFonts w:eastAsiaTheme="minorEastAsia"/>
          <w:lang w:val="en-GB"/>
        </w:rPr>
        <w:t xml:space="preserve"> </w:t>
      </w:r>
      <w:r w:rsidR="00870BB0">
        <w:rPr>
          <w:rFonts w:eastAsiaTheme="minorEastAsia"/>
          <w:lang w:val="en-GB"/>
        </w:rPr>
        <w:t xml:space="preserve">to </w:t>
      </w:r>
      <w:r w:rsidR="002E2ED6">
        <w:rPr>
          <w:rFonts w:eastAsiaTheme="minorEastAsia"/>
          <w:lang w:val="en-GB"/>
        </w:rPr>
        <w:t>distinguish CG configuration corresponding to the DCI. E</w:t>
      </w:r>
      <w:r>
        <w:rPr>
          <w:rFonts w:eastAsiaTheme="minorEastAsia"/>
          <w:lang w:val="en-GB"/>
        </w:rPr>
        <w:t xml:space="preserve">ven in this case, the position of </w:t>
      </w:r>
      <w:r w:rsidR="00601B57">
        <w:rPr>
          <w:rFonts w:eastAsiaTheme="minorEastAsia"/>
          <w:lang w:val="en-GB"/>
        </w:rPr>
        <w:t>the field</w:t>
      </w:r>
      <w:r>
        <w:rPr>
          <w:rFonts w:eastAsiaTheme="minorEastAsia"/>
          <w:lang w:val="en-GB"/>
        </w:rPr>
        <w:t xml:space="preserve"> should not be different among different configuration. In release 15, there were similar problem</w:t>
      </w:r>
      <w:r w:rsidR="00601B57">
        <w:rPr>
          <w:rFonts w:eastAsiaTheme="minorEastAsia"/>
          <w:lang w:val="en-GB"/>
        </w:rPr>
        <w:t xml:space="preserve"> on NDI field</w:t>
      </w:r>
      <w:r>
        <w:rPr>
          <w:rFonts w:eastAsiaTheme="minorEastAsia"/>
          <w:lang w:val="en-GB"/>
        </w:rPr>
        <w:t xml:space="preserve"> between dynamic grant and configured grant. </w:t>
      </w:r>
      <w:r w:rsidR="00601B57">
        <w:rPr>
          <w:rFonts w:eastAsiaTheme="minorEastAsia"/>
          <w:lang w:val="en-GB"/>
        </w:rPr>
        <w:t xml:space="preserve">The solution of release 15 was, using </w:t>
      </w:r>
      <w:r>
        <w:rPr>
          <w:rFonts w:eastAsiaTheme="minorEastAsia"/>
          <w:lang w:val="en-GB"/>
        </w:rPr>
        <w:t xml:space="preserve">dynamic grant as an anchor point. To be specific, RRC configuration for dynamic grant is used for determine field sizes of any DCI for CG configuration. </w:t>
      </w:r>
      <w:r w:rsidR="00FD2920">
        <w:rPr>
          <w:rFonts w:eastAsiaTheme="minorEastAsia"/>
          <w:lang w:val="en-GB"/>
        </w:rPr>
        <w:t>W</w:t>
      </w:r>
      <w:r w:rsidR="00601B57">
        <w:rPr>
          <w:rFonts w:eastAsiaTheme="minorEastAsia"/>
          <w:lang w:val="en-GB"/>
        </w:rPr>
        <w:t xml:space="preserve">e can re-use this approach for rel. 16. </w:t>
      </w:r>
      <w:r w:rsidR="00FD2920">
        <w:rPr>
          <w:rFonts w:eastAsiaTheme="minorEastAsia"/>
          <w:lang w:val="en-GB"/>
        </w:rPr>
        <w:t>By adopting same approach</w:t>
      </w:r>
      <w:r w:rsidR="00601B57">
        <w:rPr>
          <w:rFonts w:eastAsiaTheme="minorEastAsia"/>
          <w:lang w:val="en-GB"/>
        </w:rPr>
        <w:t xml:space="preserve">, </w:t>
      </w:r>
      <w:r>
        <w:rPr>
          <w:rFonts w:eastAsiaTheme="minorEastAsia"/>
          <w:lang w:val="en-GB"/>
        </w:rPr>
        <w:t xml:space="preserve">whichever configuration is used, </w:t>
      </w:r>
      <w:r w:rsidR="00FD2920">
        <w:rPr>
          <w:rFonts w:eastAsiaTheme="minorEastAsia"/>
          <w:lang w:val="en-GB"/>
        </w:rPr>
        <w:t xml:space="preserve">all of DCI </w:t>
      </w:r>
      <w:r>
        <w:rPr>
          <w:rFonts w:eastAsiaTheme="minorEastAsia"/>
          <w:lang w:val="en-GB"/>
        </w:rPr>
        <w:t>field positon is fixed and same as dynamic grant.</w:t>
      </w:r>
      <w:r w:rsidR="00FD2920">
        <w:rPr>
          <w:rFonts w:eastAsiaTheme="minorEastAsia"/>
          <w:lang w:val="en-GB"/>
        </w:rPr>
        <w:t xml:space="preserve"> If there is no field to distinguish different configuration, we may need to have multiple RNTI for multiple configurations. </w:t>
      </w:r>
      <w:r w:rsidR="00397363">
        <w:rPr>
          <w:rFonts w:eastAsiaTheme="minorEastAsia"/>
          <w:lang w:val="en-GB"/>
        </w:rPr>
        <w:t xml:space="preserve">It should be applicable between DCI format 0_1 and multiple CG configuration. </w:t>
      </w:r>
    </w:p>
    <w:p w14:paraId="0076C5AD" w14:textId="64C70632" w:rsidR="001C7427" w:rsidRDefault="0093497B" w:rsidP="001554E1">
      <w:pPr>
        <w:pStyle w:val="Proposal"/>
      </w:pPr>
      <w:r>
        <w:rPr>
          <w:rFonts w:hint="eastAsia"/>
        </w:rPr>
        <w:t xml:space="preserve">Proposal </w:t>
      </w:r>
      <w:r w:rsidR="00712A10">
        <w:t>1</w:t>
      </w:r>
      <w:r>
        <w:rPr>
          <w:rFonts w:hint="eastAsia"/>
        </w:rPr>
        <w:t xml:space="preserve">: </w:t>
      </w:r>
      <w:r w:rsidR="00037B01">
        <w:t>To</w:t>
      </w:r>
      <w:r>
        <w:rPr>
          <w:rFonts w:hint="eastAsia"/>
        </w:rPr>
        <w:t xml:space="preserve"> determine DCI field size of </w:t>
      </w:r>
      <w:r>
        <w:t xml:space="preserve">multiple </w:t>
      </w:r>
      <w:r>
        <w:rPr>
          <w:rFonts w:hint="eastAsia"/>
        </w:rPr>
        <w:t>configured grant</w:t>
      </w:r>
      <w:r>
        <w:t>s in release 16</w:t>
      </w:r>
      <w:r w:rsidR="005651BD">
        <w:rPr>
          <w:rFonts w:hint="eastAsia"/>
        </w:rPr>
        <w:t xml:space="preserve">, </w:t>
      </w:r>
      <w:r w:rsidR="00037B01">
        <w:t xml:space="preserve">the same size of each field </w:t>
      </w:r>
      <w:r w:rsidR="005651BD">
        <w:rPr>
          <w:rFonts w:hint="eastAsia"/>
        </w:rPr>
        <w:t xml:space="preserve">for </w:t>
      </w:r>
      <w:r w:rsidR="005651BD">
        <w:t>dynamic grant</w:t>
      </w:r>
      <w:r w:rsidR="00FA4297">
        <w:t xml:space="preserve"> is applied</w:t>
      </w:r>
      <w:r w:rsidR="00397363">
        <w:t xml:space="preserve"> at least for DCI format 0_1</w:t>
      </w:r>
      <w:r w:rsidR="00FA4297">
        <w:t>.</w:t>
      </w:r>
    </w:p>
    <w:p w14:paraId="3BD24BFB" w14:textId="616B8140" w:rsidR="001C7427" w:rsidRDefault="003F1D6B" w:rsidP="00712A10">
      <w:pPr>
        <w:pStyle w:val="Doc"/>
      </w:pPr>
      <w:r>
        <w:rPr>
          <w:rFonts w:eastAsiaTheme="minorEastAsia"/>
        </w:rPr>
        <w:t>For DCI format 0_2/1_2, there are a lot of RRC parameters to order to have different DCI field sizes and separated configuration</w:t>
      </w:r>
      <w:r w:rsidR="00870BB0">
        <w:rPr>
          <w:rFonts w:eastAsiaTheme="minorEastAsia"/>
        </w:rPr>
        <w:t>, such as different TDRA table, different repetition scheme and/or DMRS configuration</w:t>
      </w:r>
      <w:r>
        <w:rPr>
          <w:rFonts w:eastAsiaTheme="minorEastAsia"/>
        </w:rPr>
        <w:t xml:space="preserve">. </w:t>
      </w:r>
      <w:r w:rsidR="00870BB0">
        <w:rPr>
          <w:rFonts w:eastAsiaTheme="minorEastAsia"/>
        </w:rPr>
        <w:t xml:space="preserve">If DCI format 0_2 is used for activation/release, </w:t>
      </w:r>
      <w:r w:rsidR="009A3F8A">
        <w:rPr>
          <w:rFonts w:eastAsiaTheme="minorEastAsia"/>
        </w:rPr>
        <w:t xml:space="preserve">it is hard to keep current Rel. 15 </w:t>
      </w:r>
      <w:r w:rsidR="00615990">
        <w:rPr>
          <w:rFonts w:eastAsiaTheme="minorEastAsia"/>
        </w:rPr>
        <w:t>restriction</w:t>
      </w:r>
      <w:r w:rsidR="00DA4AE0">
        <w:rPr>
          <w:rFonts w:eastAsiaTheme="minorEastAsia"/>
        </w:rPr>
        <w:t xml:space="preserve">; that CG configuration should make smaller bit-length for each DCI fields than dynamic grant configuration. </w:t>
      </w:r>
      <w:r w:rsidR="004B0337">
        <w:rPr>
          <w:rFonts w:eastAsiaTheme="minorEastAsia"/>
        </w:rPr>
        <w:t>However, it is also not beneficial to have multiple parameter sets in one CG configuration for different DCI formats. There are several options to solve this problem.</w:t>
      </w:r>
    </w:p>
    <w:p w14:paraId="404FF312" w14:textId="4063D3D6" w:rsidR="004B0337" w:rsidRPr="004B0337" w:rsidRDefault="005C25A1" w:rsidP="004B0337">
      <w:pPr>
        <w:pStyle w:val="Doc"/>
        <w:numPr>
          <w:ilvl w:val="0"/>
          <w:numId w:val="70"/>
        </w:numPr>
        <w:ind w:firstLineChars="0"/>
        <w:rPr>
          <w:rFonts w:eastAsiaTheme="minorEastAsia"/>
        </w:rPr>
      </w:pPr>
      <w:r>
        <w:rPr>
          <w:rFonts w:eastAsiaTheme="minorEastAsia"/>
        </w:rPr>
        <w:t xml:space="preserve">Option </w:t>
      </w:r>
      <w:r w:rsidR="00B02617">
        <w:rPr>
          <w:rFonts w:eastAsiaTheme="minorEastAsia"/>
        </w:rPr>
        <w:t>1</w:t>
      </w:r>
      <w:r w:rsidR="004B0337" w:rsidRPr="004B0337">
        <w:rPr>
          <w:rFonts w:eastAsiaTheme="minorEastAsia"/>
        </w:rPr>
        <w:t xml:space="preserve">: DCI format 0_1 follows Rel. 15 and DCI format 0_2 follows LTE </w:t>
      </w:r>
      <w:r w:rsidR="004B0337">
        <w:rPr>
          <w:rFonts w:eastAsiaTheme="minorEastAsia"/>
        </w:rPr>
        <w:t xml:space="preserve">SPS </w:t>
      </w:r>
      <w:r w:rsidR="004B0337" w:rsidRPr="004B0337">
        <w:rPr>
          <w:rFonts w:eastAsiaTheme="minorEastAsia"/>
        </w:rPr>
        <w:t>method</w:t>
      </w:r>
    </w:p>
    <w:p w14:paraId="2A5B9A99" w14:textId="212FEB6B" w:rsidR="004B0337" w:rsidRPr="00A234A8" w:rsidRDefault="004B0337" w:rsidP="00712A10">
      <w:pPr>
        <w:pStyle w:val="Doc"/>
        <w:numPr>
          <w:ilvl w:val="0"/>
          <w:numId w:val="70"/>
        </w:numPr>
        <w:ind w:firstLineChars="0"/>
      </w:pPr>
      <w:r w:rsidRPr="004B0337">
        <w:rPr>
          <w:rFonts w:eastAsiaTheme="minorEastAsia"/>
        </w:rPr>
        <w:t>O</w:t>
      </w:r>
      <w:r w:rsidR="005C25A1">
        <w:rPr>
          <w:rFonts w:eastAsiaTheme="minorEastAsia"/>
        </w:rPr>
        <w:t xml:space="preserve">ption </w:t>
      </w:r>
      <w:r w:rsidR="00B02617">
        <w:rPr>
          <w:rFonts w:eastAsiaTheme="minorEastAsia"/>
        </w:rPr>
        <w:t>2</w:t>
      </w:r>
      <w:r w:rsidRPr="004B0337">
        <w:rPr>
          <w:rFonts w:eastAsiaTheme="minorEastAsia"/>
        </w:rPr>
        <w:t xml:space="preserve">: </w:t>
      </w:r>
      <w:r w:rsidR="0078020A" w:rsidRPr="0078020A">
        <w:rPr>
          <w:rFonts w:eastAsiaTheme="minorEastAsia"/>
        </w:rPr>
        <w:t>Both DCI format 0_1 and DCI format 0_2 follows Rel. 15</w:t>
      </w:r>
      <w:r w:rsidR="0078020A">
        <w:rPr>
          <w:rFonts w:eastAsiaTheme="minorEastAsia"/>
        </w:rPr>
        <w:t>. E</w:t>
      </w:r>
      <w:r w:rsidRPr="004B0337">
        <w:rPr>
          <w:rFonts w:eastAsiaTheme="minorEastAsia"/>
        </w:rPr>
        <w:t>ach configuration has specific applicability of DCI format (e.g., {0_1, 0_2, 0_1 and 0_2}</w:t>
      </w:r>
      <w:r w:rsidR="00B02617">
        <w:rPr>
          <w:rFonts w:eastAsiaTheme="minorEastAsia"/>
        </w:rPr>
        <w:t>)</w:t>
      </w:r>
    </w:p>
    <w:p w14:paraId="4E6CCED5" w14:textId="2A8235B3" w:rsidR="00615990" w:rsidRDefault="00B02617" w:rsidP="00712A10">
      <w:pPr>
        <w:pStyle w:val="Doc"/>
      </w:pPr>
      <w:r>
        <w:t xml:space="preserve">For option 1, as like LTE SPS, </w:t>
      </w:r>
      <w:r w:rsidR="0078020A">
        <w:t xml:space="preserve">UE can follows same RRC configuration between dynamic and configured grants for DCI format 0_2. In this option, UE may ignore some of CG configuration for DCI format 0_2. Option 2 keeps release 15 </w:t>
      </w:r>
      <w:r w:rsidR="00615990">
        <w:t>restriction</w:t>
      </w:r>
      <w:r w:rsidR="0078020A">
        <w:t xml:space="preserve"> for specific DCI format. </w:t>
      </w:r>
      <w:r w:rsidR="00615990">
        <w:t xml:space="preserve">By doing so, gNB may appropriately configure UE with CG configuration so that CG configuration can bring smaller DCI field for specific DCI format. In our perspective, option 2 is more preferable since it has more flexibility and keeps release 15 principle. </w:t>
      </w:r>
    </w:p>
    <w:p w14:paraId="58E31E91" w14:textId="04DE703D" w:rsidR="00615990" w:rsidRPr="00615990" w:rsidRDefault="00615990">
      <w:pPr>
        <w:pStyle w:val="Proposal"/>
      </w:pPr>
      <w:r>
        <w:rPr>
          <w:rFonts w:hint="eastAsia"/>
        </w:rPr>
        <w:t xml:space="preserve">Proposal </w:t>
      </w:r>
      <w:r w:rsidR="00712A10">
        <w:t>2</w:t>
      </w:r>
      <w:r>
        <w:t xml:space="preserve">: For Rel. 16 type 2 CG, UE can be configured which DCI formats can be used for a CG configuration. </w:t>
      </w:r>
    </w:p>
    <w:p w14:paraId="0A96EB43" w14:textId="1E6F8255" w:rsidR="00397363" w:rsidRDefault="001C7427" w:rsidP="00397363">
      <w:pPr>
        <w:pStyle w:val="10"/>
      </w:pPr>
      <w:r>
        <w:t xml:space="preserve">Interpretation of </w:t>
      </w:r>
      <w:r w:rsidR="00397363" w:rsidRPr="00397363">
        <w:t>rrc-ConfiguredUplinkGrant</w:t>
      </w:r>
      <w:r w:rsidR="003F1D6B">
        <w:t xml:space="preserve"> for Type 1 CG</w:t>
      </w:r>
    </w:p>
    <w:p w14:paraId="5B377A30" w14:textId="2B49679D" w:rsidR="00C267F3" w:rsidRPr="00A234A8" w:rsidRDefault="00511D42" w:rsidP="00712A10">
      <w:pPr>
        <w:pStyle w:val="Doc"/>
      </w:pPr>
      <w:r>
        <w:rPr>
          <w:rFonts w:eastAsiaTheme="minorEastAsia"/>
        </w:rPr>
        <w:t xml:space="preserve">In NR release 15, type 1 CG configuration has one parameter set, </w:t>
      </w:r>
      <w:r w:rsidRPr="00712A10">
        <w:rPr>
          <w:rFonts w:eastAsiaTheme="minorEastAsia"/>
          <w:i/>
        </w:rPr>
        <w:t>rrc-ConfiguredUplinkGrant</w:t>
      </w:r>
      <w:r>
        <w:rPr>
          <w:rFonts w:eastAsiaTheme="minorEastAsia"/>
        </w:rPr>
        <w:t xml:space="preserve">, imitating DCI format. This parameter set has multiple RRC parameter corresponding to each DCI field in DCI format 0_1 so that UE can interpret </w:t>
      </w:r>
      <w:r w:rsidRPr="00712A10">
        <w:rPr>
          <w:rFonts w:eastAsiaTheme="minorEastAsia"/>
          <w:i/>
        </w:rPr>
        <w:t>rrc-ConfiguredUplinkGrant</w:t>
      </w:r>
      <w:r>
        <w:rPr>
          <w:rFonts w:eastAsiaTheme="minorEastAsia"/>
        </w:rPr>
        <w:t xml:space="preserve"> in the same way as DCI format 0_1. In NR release 16, UE can be configured with two DCI format for uplink scheduling, 0_1 and 0_2 and those two DCI</w:t>
      </w:r>
      <w:r>
        <w:rPr>
          <w:rFonts w:eastAsiaTheme="minorEastAsia" w:hint="eastAsia"/>
        </w:rPr>
        <w:t xml:space="preserve"> </w:t>
      </w:r>
      <w:r>
        <w:rPr>
          <w:rFonts w:eastAsiaTheme="minorEastAsia"/>
        </w:rPr>
        <w:t xml:space="preserve">may have different related RRC parameter and different TDRA table. At least for selecting TDRA table which is </w:t>
      </w:r>
      <w:r>
        <w:rPr>
          <w:rFonts w:eastAsiaTheme="minorEastAsia"/>
        </w:rPr>
        <w:lastRenderedPageBreak/>
        <w:t xml:space="preserve">for type 1 CG, it is necessary to define how to interpret </w:t>
      </w:r>
      <w:r w:rsidRPr="00465AAE">
        <w:rPr>
          <w:rFonts w:eastAsiaTheme="minorEastAsia"/>
          <w:i/>
        </w:rPr>
        <w:t>rrc-ConfiguredUplinkGrant</w:t>
      </w:r>
      <w:r w:rsidR="00EA4573">
        <w:rPr>
          <w:rFonts w:eastAsiaTheme="minorEastAsia"/>
          <w:i/>
        </w:rPr>
        <w:t>-rel16</w:t>
      </w:r>
      <w:r>
        <w:rPr>
          <w:rFonts w:eastAsiaTheme="minorEastAsia"/>
          <w:i/>
        </w:rPr>
        <w:t xml:space="preserve"> </w:t>
      </w:r>
      <w:r>
        <w:rPr>
          <w:rFonts w:eastAsiaTheme="minorEastAsia"/>
        </w:rPr>
        <w:t xml:space="preserve">in </w:t>
      </w:r>
      <w:r w:rsidR="00EA4573">
        <w:rPr>
          <w:rFonts w:eastAsiaTheme="minorEastAsia"/>
          <w:i/>
        </w:rPr>
        <w:t>ConfiguredGrantConfig</w:t>
      </w:r>
      <w:r w:rsidR="00EA4573">
        <w:t xml:space="preserve">. </w:t>
      </w:r>
    </w:p>
    <w:p w14:paraId="4800BF60" w14:textId="3FA56DBC" w:rsidR="00F170EB" w:rsidRDefault="00EA4573" w:rsidP="004B18C8">
      <w:pPr>
        <w:pStyle w:val="Doc"/>
        <w:ind w:firstLineChars="0" w:firstLine="0"/>
        <w:rPr>
          <w:rFonts w:eastAsiaTheme="minorEastAsia"/>
        </w:rPr>
      </w:pPr>
      <w:r>
        <w:rPr>
          <w:rFonts w:eastAsiaTheme="minorEastAsia" w:hint="eastAsia"/>
        </w:rPr>
        <w:t xml:space="preserve">Straightforwardly, it can be considered to introduce one RRC parameter to choose DCI format for the interpretation. </w:t>
      </w:r>
      <w:r>
        <w:rPr>
          <w:rFonts w:eastAsiaTheme="minorEastAsia"/>
        </w:rPr>
        <w:t xml:space="preserve">Otherwise, </w:t>
      </w:r>
      <w:r w:rsidR="00AB238F">
        <w:rPr>
          <w:rFonts w:eastAsiaTheme="minorEastAsia"/>
        </w:rPr>
        <w:t xml:space="preserve">if each DCI format has different repetition scheme or different priority exclusively, DCI format having same repetition scheme or priority with a type 1 CG configuration can be used for interpretation of </w:t>
      </w:r>
      <w:r w:rsidR="00AB238F" w:rsidRPr="00465AAE">
        <w:rPr>
          <w:rFonts w:eastAsiaTheme="minorEastAsia"/>
          <w:i/>
        </w:rPr>
        <w:t>rrc-ConfiguredUplinkGrant</w:t>
      </w:r>
      <w:r w:rsidR="00AB238F">
        <w:rPr>
          <w:rFonts w:eastAsiaTheme="minorEastAsia"/>
        </w:rPr>
        <w:t xml:space="preserve"> in the CG configuration. </w:t>
      </w:r>
    </w:p>
    <w:p w14:paraId="486FA1D5" w14:textId="4D0EF5F8" w:rsidR="00AB238F" w:rsidRDefault="00AB238F" w:rsidP="00712A10">
      <w:pPr>
        <w:pStyle w:val="Proposal"/>
      </w:pPr>
      <w:r>
        <w:rPr>
          <w:rFonts w:hint="eastAsia"/>
        </w:rPr>
        <w:t>Proposal</w:t>
      </w:r>
      <w:r w:rsidR="00D903EB">
        <w:t xml:space="preserve"> </w:t>
      </w:r>
      <w:r w:rsidR="00712A10">
        <w:t>3</w:t>
      </w:r>
      <w:r>
        <w:rPr>
          <w:rFonts w:hint="eastAsia"/>
        </w:rPr>
        <w:t xml:space="preserve">: </w:t>
      </w:r>
      <w:r w:rsidR="00A234A8">
        <w:t>For Rel. 16 type 1 CG, one of f</w:t>
      </w:r>
      <w:r w:rsidR="00A234A8">
        <w:rPr>
          <w:rFonts w:hint="eastAsia"/>
        </w:rPr>
        <w:t>ollowing options is adopted</w:t>
      </w:r>
      <w:r w:rsidR="00A234A8">
        <w:t xml:space="preserve"> at least to select TDRA table</w:t>
      </w:r>
      <w:r w:rsidR="00A234A8">
        <w:rPr>
          <w:rFonts w:hint="eastAsia"/>
        </w:rPr>
        <w:t>:</w:t>
      </w:r>
    </w:p>
    <w:p w14:paraId="03861818" w14:textId="0556B187" w:rsidR="00A234A8" w:rsidRDefault="00A234A8" w:rsidP="00712A10">
      <w:pPr>
        <w:pStyle w:val="Proposal"/>
        <w:numPr>
          <w:ilvl w:val="0"/>
          <w:numId w:val="71"/>
        </w:numPr>
      </w:pPr>
      <w:r>
        <w:rPr>
          <w:rFonts w:hint="eastAsia"/>
        </w:rPr>
        <w:t>Option 1</w:t>
      </w:r>
      <w:r>
        <w:t>: Introduce new RRC parameter to indicate reference DCI format</w:t>
      </w:r>
    </w:p>
    <w:p w14:paraId="2AD3404E" w14:textId="57583072" w:rsidR="00A234A8" w:rsidRDefault="00A234A8" w:rsidP="00712A10">
      <w:pPr>
        <w:pStyle w:val="Proposal"/>
        <w:numPr>
          <w:ilvl w:val="0"/>
          <w:numId w:val="71"/>
        </w:numPr>
      </w:pPr>
      <w:r>
        <w:t>Option 2: use DCI format having same repetition mechanism as reference</w:t>
      </w:r>
    </w:p>
    <w:p w14:paraId="160B4C72" w14:textId="6C8D878D" w:rsidR="00A234A8" w:rsidRDefault="00A234A8" w:rsidP="00A234A8">
      <w:pPr>
        <w:pStyle w:val="Proposal"/>
        <w:numPr>
          <w:ilvl w:val="0"/>
          <w:numId w:val="71"/>
        </w:numPr>
      </w:pPr>
      <w:r>
        <w:t xml:space="preserve">Option 3: use DCI format having same priority as reference if priority is mapped to DCI format. </w:t>
      </w:r>
    </w:p>
    <w:p w14:paraId="05060CA8" w14:textId="77777777" w:rsidR="001024FC" w:rsidRDefault="001024FC" w:rsidP="00712A10">
      <w:pPr>
        <w:pStyle w:val="Proposal"/>
      </w:pPr>
    </w:p>
    <w:p w14:paraId="1BD09B1C" w14:textId="7824E531" w:rsidR="001024FC" w:rsidRDefault="001024FC" w:rsidP="001024FC">
      <w:pPr>
        <w:pStyle w:val="10"/>
      </w:pPr>
      <w:r>
        <w:t>Validation of Rel. 16 configured grant</w:t>
      </w:r>
    </w:p>
    <w:p w14:paraId="1ED54E2D" w14:textId="025523DE" w:rsidR="001024FC" w:rsidRDefault="001024FC" w:rsidP="00712A10">
      <w:pPr>
        <w:pStyle w:val="Doc"/>
      </w:pPr>
      <w:r>
        <w:rPr>
          <w:rFonts w:eastAsiaTheme="minorEastAsia" w:hint="eastAsia"/>
          <w:lang w:val="en-GB"/>
        </w:rPr>
        <w:t xml:space="preserve">In the previous meeting, </w:t>
      </w:r>
      <w:r>
        <w:rPr>
          <w:rFonts w:eastAsiaTheme="minorEastAsia"/>
          <w:lang w:val="en-GB"/>
        </w:rPr>
        <w:t xml:space="preserve">there is a concern on reliability of activation/release DCI since a lot of validation code point is removed or shortened. For example, HPN field in activation/release DCI cannot be used for validation code point anymore. Instead, it indicates which configuration is to be activated/released. </w:t>
      </w:r>
      <w:r w:rsidR="00B36BE9">
        <w:rPr>
          <w:rFonts w:eastAsiaTheme="minorEastAsia"/>
          <w:lang w:val="en-GB"/>
        </w:rPr>
        <w:t xml:space="preserve">However, least for activation, there is not so many DCI fields which remain for validation. Most of </w:t>
      </w:r>
      <w:r w:rsidR="00B36BE9">
        <w:rPr>
          <w:rFonts w:eastAsiaTheme="minorEastAsia" w:hint="eastAsia"/>
          <w:lang w:val="en-GB"/>
        </w:rPr>
        <w:t xml:space="preserve">fields are necessary to allocate resource properly and </w:t>
      </w:r>
      <w:r w:rsidR="00B36BE9">
        <w:rPr>
          <w:rFonts w:eastAsiaTheme="minorEastAsia"/>
          <w:lang w:val="en-GB"/>
        </w:rPr>
        <w:t>have configurability to be 0 bits. Moreover, it is hard to find infrequent value combination among remaining others</w:t>
      </w:r>
      <w:r w:rsidR="0082737F">
        <w:rPr>
          <w:rFonts w:eastAsiaTheme="minorEastAsia"/>
          <w:lang w:val="en-GB"/>
        </w:rPr>
        <w:t xml:space="preserve">. </w:t>
      </w:r>
    </w:p>
    <w:p w14:paraId="174DB665" w14:textId="3BA22177" w:rsidR="0082737F" w:rsidRPr="00B75DF9" w:rsidRDefault="0082737F" w:rsidP="00712A10">
      <w:pPr>
        <w:pStyle w:val="Doc"/>
      </w:pPr>
      <w:r>
        <w:rPr>
          <w:rFonts w:eastAsiaTheme="minorEastAsia"/>
          <w:lang w:val="en-GB"/>
        </w:rPr>
        <w:t xml:space="preserve">To resolve this problem, we can consider other property rather than value combination of DCI fields. For example, if DCI is related to certain priority, repetition scheme or HARQ process pool, UE can expect to receive DCI having same property with a CG for activation/release of the CG. It seems reasonable to use DCI having higher priority for activation/re-transmission of higher priority CG. Definitely, it can bring less false alarm late without </w:t>
      </w:r>
      <w:r w:rsidR="00484674">
        <w:rPr>
          <w:rFonts w:eastAsiaTheme="minorEastAsia"/>
          <w:lang w:val="en-GB"/>
        </w:rPr>
        <w:t xml:space="preserve">specification impact and </w:t>
      </w:r>
      <w:r>
        <w:rPr>
          <w:rFonts w:eastAsiaTheme="minorEastAsia"/>
          <w:lang w:val="en-GB"/>
        </w:rPr>
        <w:t xml:space="preserve">loss of flexibility. </w:t>
      </w:r>
    </w:p>
    <w:p w14:paraId="6F247B2D" w14:textId="41FC7903" w:rsidR="00B75DF9" w:rsidRPr="0082737F" w:rsidRDefault="00B75DF9" w:rsidP="00712A10">
      <w:pPr>
        <w:pStyle w:val="Proposal"/>
      </w:pPr>
      <w:r>
        <w:rPr>
          <w:rFonts w:hint="eastAsia"/>
        </w:rPr>
        <w:t>Proposal</w:t>
      </w:r>
      <w:r>
        <w:t xml:space="preserve"> </w:t>
      </w:r>
      <w:r w:rsidR="00712A10">
        <w:t>4</w:t>
      </w:r>
      <w:r>
        <w:rPr>
          <w:rFonts w:hint="eastAsia"/>
        </w:rPr>
        <w:t xml:space="preserve">: For Rel.16 configured grant, </w:t>
      </w:r>
      <w:r>
        <w:t xml:space="preserve">UE does not expect to receive DCI </w:t>
      </w:r>
      <w:r w:rsidR="00484674">
        <w:t>related</w:t>
      </w:r>
      <w:r>
        <w:t xml:space="preserve"> to different priority from the priority </w:t>
      </w:r>
      <w:r w:rsidR="00484674">
        <w:t>configured to</w:t>
      </w:r>
      <w:r>
        <w:t xml:space="preserve"> a CG for activation of the CG.</w:t>
      </w:r>
      <w:r w:rsidRPr="0082737F">
        <w:t xml:space="preserve"> </w:t>
      </w:r>
    </w:p>
    <w:p w14:paraId="13CEEDB9" w14:textId="703EFDEA" w:rsidR="00ED1F6F" w:rsidRDefault="00ED1F6F" w:rsidP="00674162">
      <w:pPr>
        <w:pStyle w:val="10"/>
      </w:pPr>
      <w:r>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4180B0E5" w14:textId="77777777" w:rsidR="00712A10" w:rsidRDefault="00712A10" w:rsidP="00712A10">
      <w:pPr>
        <w:pStyle w:val="Proposal"/>
      </w:pPr>
      <w:r>
        <w:rPr>
          <w:rFonts w:hint="eastAsia"/>
        </w:rPr>
        <w:t xml:space="preserve">Proposal </w:t>
      </w:r>
      <w:r>
        <w:t>1</w:t>
      </w:r>
      <w:r>
        <w:rPr>
          <w:rFonts w:hint="eastAsia"/>
        </w:rPr>
        <w:t xml:space="preserve">: </w:t>
      </w:r>
      <w:r>
        <w:t>To</w:t>
      </w:r>
      <w:r>
        <w:rPr>
          <w:rFonts w:hint="eastAsia"/>
        </w:rPr>
        <w:t xml:space="preserve"> determine DCI field size of </w:t>
      </w:r>
      <w:r>
        <w:t xml:space="preserve">multiple </w:t>
      </w:r>
      <w:r>
        <w:rPr>
          <w:rFonts w:hint="eastAsia"/>
        </w:rPr>
        <w:t>configured grant</w:t>
      </w:r>
      <w:r>
        <w:t>s in release 16</w:t>
      </w:r>
      <w:r>
        <w:rPr>
          <w:rFonts w:hint="eastAsia"/>
        </w:rPr>
        <w:t xml:space="preserve">, </w:t>
      </w:r>
      <w:r>
        <w:t xml:space="preserve">the same size of each field </w:t>
      </w:r>
      <w:r>
        <w:rPr>
          <w:rFonts w:hint="eastAsia"/>
        </w:rPr>
        <w:t xml:space="preserve">for </w:t>
      </w:r>
      <w:r>
        <w:t>dynamic grant is applied at least for DCI format 0_1.</w:t>
      </w:r>
    </w:p>
    <w:p w14:paraId="010F1497" w14:textId="77777777" w:rsidR="00712A10" w:rsidRPr="00615990" w:rsidRDefault="00712A10" w:rsidP="00712A10">
      <w:pPr>
        <w:pStyle w:val="Proposal"/>
      </w:pPr>
      <w:r>
        <w:rPr>
          <w:rFonts w:hint="eastAsia"/>
        </w:rPr>
        <w:t xml:space="preserve">Proposal </w:t>
      </w:r>
      <w:r>
        <w:t xml:space="preserve">2: For Rel. 16 type 2 CG, UE can be configured which DCI formats can be used for a CG configuration. </w:t>
      </w:r>
    </w:p>
    <w:p w14:paraId="3A959EB3" w14:textId="77777777" w:rsidR="00712A10" w:rsidRDefault="00712A10" w:rsidP="00712A10">
      <w:pPr>
        <w:pStyle w:val="Proposal"/>
      </w:pPr>
      <w:r>
        <w:rPr>
          <w:rFonts w:hint="eastAsia"/>
        </w:rPr>
        <w:lastRenderedPageBreak/>
        <w:t>Proposal</w:t>
      </w:r>
      <w:r>
        <w:t xml:space="preserve"> 3</w:t>
      </w:r>
      <w:r>
        <w:rPr>
          <w:rFonts w:hint="eastAsia"/>
        </w:rPr>
        <w:t xml:space="preserve">: </w:t>
      </w:r>
      <w:r>
        <w:t>For Rel. 16 type 1 CG, one of f</w:t>
      </w:r>
      <w:r>
        <w:rPr>
          <w:rFonts w:hint="eastAsia"/>
        </w:rPr>
        <w:t>ollowing options is adopted</w:t>
      </w:r>
      <w:r>
        <w:t xml:space="preserve"> at least to select TDRA table</w:t>
      </w:r>
      <w:r>
        <w:rPr>
          <w:rFonts w:hint="eastAsia"/>
        </w:rPr>
        <w:t>:</w:t>
      </w:r>
    </w:p>
    <w:p w14:paraId="18F61B90" w14:textId="77777777" w:rsidR="00712A10" w:rsidRDefault="00712A10" w:rsidP="00712A10">
      <w:pPr>
        <w:pStyle w:val="Proposal"/>
        <w:numPr>
          <w:ilvl w:val="0"/>
          <w:numId w:val="71"/>
        </w:numPr>
      </w:pPr>
      <w:r>
        <w:rPr>
          <w:rFonts w:hint="eastAsia"/>
        </w:rPr>
        <w:t>Option 1</w:t>
      </w:r>
      <w:r>
        <w:t>: Introduce new RRC parameter to indicate reference DCI format</w:t>
      </w:r>
    </w:p>
    <w:p w14:paraId="348C1CC9" w14:textId="77777777" w:rsidR="00712A10" w:rsidRDefault="00712A10" w:rsidP="00712A10">
      <w:pPr>
        <w:pStyle w:val="Proposal"/>
        <w:numPr>
          <w:ilvl w:val="0"/>
          <w:numId w:val="71"/>
        </w:numPr>
      </w:pPr>
      <w:r>
        <w:t>Option 2: use DCI format having same repetition mechanism as reference</w:t>
      </w:r>
    </w:p>
    <w:p w14:paraId="7E390AB5" w14:textId="77777777" w:rsidR="00712A10" w:rsidRDefault="00712A10" w:rsidP="00712A10">
      <w:pPr>
        <w:pStyle w:val="Proposal"/>
        <w:numPr>
          <w:ilvl w:val="0"/>
          <w:numId w:val="71"/>
        </w:numPr>
      </w:pPr>
      <w:r>
        <w:t xml:space="preserve">Option 3: use DCI format having same priority as reference if priority is mapped to DCI format. </w:t>
      </w:r>
    </w:p>
    <w:p w14:paraId="170E8DD8" w14:textId="77777777" w:rsidR="00712A10" w:rsidRPr="0082737F" w:rsidRDefault="00712A10" w:rsidP="00712A10">
      <w:pPr>
        <w:pStyle w:val="Proposal"/>
      </w:pPr>
      <w:r>
        <w:rPr>
          <w:rFonts w:hint="eastAsia"/>
        </w:rPr>
        <w:t>Proposal</w:t>
      </w:r>
      <w:r>
        <w:t xml:space="preserve"> 4</w:t>
      </w:r>
      <w:r>
        <w:rPr>
          <w:rFonts w:hint="eastAsia"/>
        </w:rPr>
        <w:t xml:space="preserve">: For Rel.16 configured grant, </w:t>
      </w:r>
      <w:r>
        <w:t>UE does not expect to receive DCI related to different priority from the priority configured to a CG for activation of the CG.</w:t>
      </w:r>
      <w:r w:rsidRPr="0082737F">
        <w:t xml:space="preserve"> </w:t>
      </w:r>
    </w:p>
    <w:p w14:paraId="6B8D2DEF" w14:textId="14C00959" w:rsidR="002C212E" w:rsidRPr="002D3329" w:rsidRDefault="00C1458F" w:rsidP="002D3329">
      <w:pPr>
        <w:pStyle w:val="10"/>
      </w:pPr>
      <w:r w:rsidRPr="007036D8">
        <w:rPr>
          <w:rFonts w:hint="eastAsia"/>
        </w:rPr>
        <w:t>Reference</w:t>
      </w:r>
    </w:p>
    <w:p w14:paraId="3F63DA1A" w14:textId="3D9D41D9" w:rsidR="009D49E5" w:rsidRDefault="009D49E5" w:rsidP="00AB1A7F">
      <w:pPr>
        <w:pStyle w:val="References"/>
        <w:ind w:left="567" w:hanging="425"/>
        <w:rPr>
          <w:rFonts w:eastAsia="맑은 고딕"/>
          <w:szCs w:val="22"/>
          <w:lang w:eastAsia="ko-KR"/>
        </w:rPr>
      </w:pPr>
      <w:r>
        <w:rPr>
          <w:rFonts w:eastAsia="맑은 고딕" w:hint="eastAsia"/>
          <w:szCs w:val="22"/>
          <w:lang w:eastAsia="ko-KR"/>
        </w:rPr>
        <w:t>RAN1 chairman</w:t>
      </w:r>
      <w:r>
        <w:rPr>
          <w:rFonts w:eastAsia="맑은 고딕"/>
          <w:szCs w:val="22"/>
          <w:lang w:eastAsia="ko-KR"/>
        </w:rPr>
        <w:t>’s notes, RAN1</w:t>
      </w:r>
      <w:r w:rsidR="00F170EB">
        <w:rPr>
          <w:rFonts w:eastAsia="맑은 고딕"/>
          <w:szCs w:val="22"/>
          <w:lang w:eastAsia="ko-KR"/>
        </w:rPr>
        <w:t>#9</w:t>
      </w:r>
      <w:r w:rsidR="00926C15">
        <w:rPr>
          <w:rFonts w:eastAsia="맑은 고딕"/>
          <w:szCs w:val="22"/>
          <w:lang w:eastAsia="ko-KR"/>
        </w:rPr>
        <w:t>8</w:t>
      </w:r>
    </w:p>
    <w:p w14:paraId="7E725A39" w14:textId="7D18BB37" w:rsidR="00B56478" w:rsidRDefault="00B56478" w:rsidP="00B56478">
      <w:pPr>
        <w:pStyle w:val="References"/>
        <w:ind w:left="567" w:hanging="425"/>
        <w:rPr>
          <w:rFonts w:eastAsia="맑은 고딕"/>
          <w:szCs w:val="22"/>
          <w:lang w:eastAsia="ko-KR"/>
        </w:rPr>
      </w:pPr>
      <w:r>
        <w:rPr>
          <w:rFonts w:eastAsia="맑은 고딕" w:hint="eastAsia"/>
          <w:szCs w:val="22"/>
          <w:lang w:eastAsia="ko-KR"/>
        </w:rPr>
        <w:t>RAN1 chairman</w:t>
      </w:r>
      <w:r>
        <w:rPr>
          <w:rFonts w:eastAsia="맑은 고딕"/>
          <w:szCs w:val="22"/>
          <w:lang w:eastAsia="ko-KR"/>
        </w:rPr>
        <w:t>’s notes, RAN1#9</w:t>
      </w:r>
      <w:r>
        <w:rPr>
          <w:rFonts w:eastAsia="맑은 고딕"/>
          <w:szCs w:val="22"/>
          <w:lang w:eastAsia="ko-KR"/>
        </w:rPr>
        <w:t>8bis</w:t>
      </w:r>
      <w:bookmarkStart w:id="3" w:name="_GoBack"/>
      <w:bookmarkEnd w:id="3"/>
    </w:p>
    <w:p w14:paraId="2FA7A0CA" w14:textId="77777777" w:rsidR="00AB1A7F" w:rsidRPr="000C7A30" w:rsidRDefault="00AB1A7F" w:rsidP="00953189">
      <w:pPr>
        <w:pStyle w:val="References"/>
        <w:numPr>
          <w:ilvl w:val="0"/>
          <w:numId w:val="0"/>
        </w:numPr>
        <w:ind w:left="6031" w:hanging="360"/>
        <w:rPr>
          <w:rFonts w:eastAsia="맑은 고딕"/>
          <w:szCs w:val="22"/>
          <w:lang w:eastAsia="ko-KR"/>
        </w:rPr>
      </w:pPr>
    </w:p>
    <w:sectPr w:rsidR="00AB1A7F" w:rsidRPr="000C7A3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45D38" w14:textId="77777777" w:rsidR="00A34976" w:rsidRDefault="00A34976" w:rsidP="00CB15B0">
      <w:pPr>
        <w:spacing w:before="0" w:after="0" w:line="240" w:lineRule="auto"/>
      </w:pPr>
      <w:r>
        <w:separator/>
      </w:r>
    </w:p>
  </w:endnote>
  <w:endnote w:type="continuationSeparator" w:id="0">
    <w:p w14:paraId="0A555D59" w14:textId="77777777" w:rsidR="00A34976" w:rsidRDefault="00A34976" w:rsidP="00CB15B0">
      <w:pPr>
        <w:spacing w:before="0" w:after="0" w:line="240" w:lineRule="auto"/>
      </w:pPr>
      <w:r>
        <w:continuationSeparator/>
      </w:r>
    </w:p>
  </w:endnote>
  <w:endnote w:type="continuationNotice" w:id="1">
    <w:p w14:paraId="563BC5A8" w14:textId="77777777" w:rsidR="00A34976" w:rsidRDefault="00A3497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061F0" w14:textId="77777777" w:rsidR="00A34976" w:rsidRDefault="00A34976" w:rsidP="00CB15B0">
      <w:pPr>
        <w:spacing w:before="0" w:after="0" w:line="240" w:lineRule="auto"/>
      </w:pPr>
      <w:r>
        <w:separator/>
      </w:r>
    </w:p>
  </w:footnote>
  <w:footnote w:type="continuationSeparator" w:id="0">
    <w:p w14:paraId="5002FA4F" w14:textId="77777777" w:rsidR="00A34976" w:rsidRDefault="00A34976" w:rsidP="00CB15B0">
      <w:pPr>
        <w:spacing w:before="0" w:after="0" w:line="240" w:lineRule="auto"/>
      </w:pPr>
      <w:r>
        <w:continuationSeparator/>
      </w:r>
    </w:p>
  </w:footnote>
  <w:footnote w:type="continuationNotice" w:id="1">
    <w:p w14:paraId="2B0FF80D" w14:textId="77777777" w:rsidR="00A34976" w:rsidRDefault="00A34976">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75822"/>
    <w:multiLevelType w:val="hybridMultilevel"/>
    <w:tmpl w:val="920429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4"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57E25F9"/>
    <w:multiLevelType w:val="hybridMultilevel"/>
    <w:tmpl w:val="01AA54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0"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9"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3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9C67B85"/>
    <w:multiLevelType w:val="hybridMultilevel"/>
    <w:tmpl w:val="C794F5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9"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1"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42"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3"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D8912EE"/>
    <w:multiLevelType w:val="hybridMultilevel"/>
    <w:tmpl w:val="1B5C141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2"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56"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57"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63"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65"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58"/>
  </w:num>
  <w:num w:numId="2">
    <w:abstractNumId w:val="0"/>
  </w:num>
  <w:num w:numId="3">
    <w:abstractNumId w:val="31"/>
  </w:num>
  <w:num w:numId="4">
    <w:abstractNumId w:val="24"/>
  </w:num>
  <w:num w:numId="5">
    <w:abstractNumId w:val="55"/>
  </w:num>
  <w:num w:numId="6">
    <w:abstractNumId w:val="16"/>
  </w:num>
  <w:num w:numId="7">
    <w:abstractNumId w:val="5"/>
  </w:num>
  <w:num w:numId="8">
    <w:abstractNumId w:val="18"/>
  </w:num>
  <w:num w:numId="9">
    <w:abstractNumId w:val="59"/>
  </w:num>
  <w:num w:numId="10">
    <w:abstractNumId w:val="66"/>
  </w:num>
  <w:num w:numId="11">
    <w:abstractNumId w:val="40"/>
  </w:num>
  <w:num w:numId="12">
    <w:abstractNumId w:val="27"/>
  </w:num>
  <w:num w:numId="13">
    <w:abstractNumId w:val="67"/>
  </w:num>
  <w:num w:numId="14">
    <w:abstractNumId w:val="44"/>
  </w:num>
  <w:num w:numId="15">
    <w:abstractNumId w:val="36"/>
  </w:num>
  <w:num w:numId="16">
    <w:abstractNumId w:val="29"/>
  </w:num>
  <w:num w:numId="17">
    <w:abstractNumId w:val="61"/>
  </w:num>
  <w:num w:numId="18">
    <w:abstractNumId w:val="10"/>
  </w:num>
  <w:num w:numId="19">
    <w:abstractNumId w:val="46"/>
  </w:num>
  <w:num w:numId="20">
    <w:abstractNumId w:val="4"/>
  </w:num>
  <w:num w:numId="21">
    <w:abstractNumId w:val="28"/>
  </w:num>
  <w:num w:numId="22">
    <w:abstractNumId w:val="47"/>
  </w:num>
  <w:num w:numId="23">
    <w:abstractNumId w:val="33"/>
  </w:num>
  <w:num w:numId="24">
    <w:abstractNumId w:val="2"/>
  </w:num>
  <w:num w:numId="25">
    <w:abstractNumId w:val="65"/>
  </w:num>
  <w:num w:numId="26">
    <w:abstractNumId w:val="38"/>
  </w:num>
  <w:num w:numId="27">
    <w:abstractNumId w:val="19"/>
  </w:num>
  <w:num w:numId="28">
    <w:abstractNumId w:val="62"/>
  </w:num>
  <w:num w:numId="29">
    <w:abstractNumId w:val="8"/>
  </w:num>
  <w:num w:numId="30">
    <w:abstractNumId w:val="51"/>
  </w:num>
  <w:num w:numId="31">
    <w:abstractNumId w:val="57"/>
  </w:num>
  <w:num w:numId="32">
    <w:abstractNumId w:val="13"/>
  </w:num>
  <w:num w:numId="33">
    <w:abstractNumId w:val="53"/>
  </w:num>
  <w:num w:numId="34">
    <w:abstractNumId w:val="56"/>
  </w:num>
  <w:num w:numId="35">
    <w:abstractNumId w:val="20"/>
  </w:num>
  <w:num w:numId="36">
    <w:abstractNumId w:val="7"/>
  </w:num>
  <w:num w:numId="37">
    <w:abstractNumId w:val="21"/>
  </w:num>
  <w:num w:numId="38">
    <w:abstractNumId w:val="53"/>
  </w:num>
  <w:num w:numId="39">
    <w:abstractNumId w:val="32"/>
  </w:num>
  <w:num w:numId="40">
    <w:abstractNumId w:val="64"/>
  </w:num>
  <w:num w:numId="41">
    <w:abstractNumId w:val="1"/>
  </w:num>
  <w:num w:numId="42">
    <w:abstractNumId w:val="41"/>
  </w:num>
  <w:num w:numId="43">
    <w:abstractNumId w:val="22"/>
  </w:num>
  <w:num w:numId="44">
    <w:abstractNumId w:val="13"/>
  </w:num>
  <w:num w:numId="45">
    <w:abstractNumId w:val="35"/>
  </w:num>
  <w:num w:numId="46">
    <w:abstractNumId w:val="60"/>
  </w:num>
  <w:num w:numId="47">
    <w:abstractNumId w:val="54"/>
  </w:num>
  <w:num w:numId="48">
    <w:abstractNumId w:val="43"/>
  </w:num>
  <w:num w:numId="49">
    <w:abstractNumId w:val="45"/>
  </w:num>
  <w:num w:numId="50">
    <w:abstractNumId w:val="37"/>
  </w:num>
  <w:num w:numId="51">
    <w:abstractNumId w:val="12"/>
  </w:num>
  <w:num w:numId="52">
    <w:abstractNumId w:val="9"/>
  </w:num>
  <w:num w:numId="53">
    <w:abstractNumId w:val="30"/>
  </w:num>
  <w:num w:numId="54">
    <w:abstractNumId w:val="49"/>
  </w:num>
  <w:num w:numId="55">
    <w:abstractNumId w:val="39"/>
  </w:num>
  <w:num w:numId="56">
    <w:abstractNumId w:val="42"/>
  </w:num>
  <w:num w:numId="57">
    <w:abstractNumId w:val="50"/>
  </w:num>
  <w:num w:numId="58">
    <w:abstractNumId w:val="17"/>
  </w:num>
  <w:num w:numId="59">
    <w:abstractNumId w:val="31"/>
  </w:num>
  <w:num w:numId="60">
    <w:abstractNumId w:val="23"/>
  </w:num>
  <w:num w:numId="61">
    <w:abstractNumId w:val="26"/>
  </w:num>
  <w:num w:numId="62">
    <w:abstractNumId w:val="3"/>
  </w:num>
  <w:num w:numId="63">
    <w:abstractNumId w:val="63"/>
  </w:num>
  <w:num w:numId="64">
    <w:abstractNumId w:val="11"/>
  </w:num>
  <w:num w:numId="65">
    <w:abstractNumId w:val="25"/>
  </w:num>
  <w:num w:numId="66">
    <w:abstractNumId w:val="14"/>
  </w:num>
  <w:num w:numId="67">
    <w:abstractNumId w:val="48"/>
  </w:num>
  <w:num w:numId="68">
    <w:abstractNumId w:val="34"/>
  </w:num>
  <w:num w:numId="69">
    <w:abstractNumId w:val="52"/>
  </w:num>
  <w:num w:numId="70">
    <w:abstractNumId w:val="48"/>
  </w:num>
  <w:num w:numId="71">
    <w:abstractNumId w:val="6"/>
  </w:num>
  <w:num w:numId="72">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DA6"/>
    <w:rsid w:val="000374B0"/>
    <w:rsid w:val="00037B01"/>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98"/>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4FC"/>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0E1F"/>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E4"/>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49B9"/>
    <w:rsid w:val="001554E1"/>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30A"/>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8E1"/>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6AD"/>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CF4"/>
    <w:rsid w:val="001C5D14"/>
    <w:rsid w:val="001C710B"/>
    <w:rsid w:val="001C7135"/>
    <w:rsid w:val="001C725F"/>
    <w:rsid w:val="001C72D2"/>
    <w:rsid w:val="001C72EC"/>
    <w:rsid w:val="001C73B6"/>
    <w:rsid w:val="001C7427"/>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44"/>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4CB"/>
    <w:rsid w:val="00216516"/>
    <w:rsid w:val="00216F54"/>
    <w:rsid w:val="00217441"/>
    <w:rsid w:val="002177EA"/>
    <w:rsid w:val="002200D6"/>
    <w:rsid w:val="0022078F"/>
    <w:rsid w:val="00220F19"/>
    <w:rsid w:val="00221698"/>
    <w:rsid w:val="00221AAD"/>
    <w:rsid w:val="00221CC4"/>
    <w:rsid w:val="00221D49"/>
    <w:rsid w:val="00221DE6"/>
    <w:rsid w:val="002220A4"/>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5EBD"/>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2ED6"/>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DB"/>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87AA6"/>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363"/>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199"/>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1D6B"/>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37F80"/>
    <w:rsid w:val="00440395"/>
    <w:rsid w:val="004411DD"/>
    <w:rsid w:val="004412FF"/>
    <w:rsid w:val="00441660"/>
    <w:rsid w:val="00441AEF"/>
    <w:rsid w:val="0044268B"/>
    <w:rsid w:val="004428E8"/>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74"/>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47"/>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37"/>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50CA"/>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8EB"/>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6C26"/>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1D"/>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D42"/>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016"/>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1CF"/>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1BD"/>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4FA7"/>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52"/>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5A1"/>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B57"/>
    <w:rsid w:val="00602060"/>
    <w:rsid w:val="0060218D"/>
    <w:rsid w:val="0060267B"/>
    <w:rsid w:val="006026A9"/>
    <w:rsid w:val="006028F9"/>
    <w:rsid w:val="006035FF"/>
    <w:rsid w:val="00603EB8"/>
    <w:rsid w:val="00604233"/>
    <w:rsid w:val="0060506D"/>
    <w:rsid w:val="006050F9"/>
    <w:rsid w:val="00605185"/>
    <w:rsid w:val="0060522B"/>
    <w:rsid w:val="00605399"/>
    <w:rsid w:val="006056E3"/>
    <w:rsid w:val="00605934"/>
    <w:rsid w:val="00605E2F"/>
    <w:rsid w:val="00605E4E"/>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990"/>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3F94"/>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D89"/>
    <w:rsid w:val="00663F87"/>
    <w:rsid w:val="00663F9F"/>
    <w:rsid w:val="006642F3"/>
    <w:rsid w:val="00664B4E"/>
    <w:rsid w:val="00664F00"/>
    <w:rsid w:val="006653C0"/>
    <w:rsid w:val="0066544C"/>
    <w:rsid w:val="0066568E"/>
    <w:rsid w:val="006656A0"/>
    <w:rsid w:val="006657D9"/>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0C92"/>
    <w:rsid w:val="006810EF"/>
    <w:rsid w:val="00681380"/>
    <w:rsid w:val="00681475"/>
    <w:rsid w:val="00681811"/>
    <w:rsid w:val="00681C57"/>
    <w:rsid w:val="00681CDC"/>
    <w:rsid w:val="00681CE1"/>
    <w:rsid w:val="00681D96"/>
    <w:rsid w:val="00682130"/>
    <w:rsid w:val="006827E6"/>
    <w:rsid w:val="00682C03"/>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6C3"/>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1F4"/>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5F3"/>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A10"/>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20A"/>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1CF4"/>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B7A18"/>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C7FE3"/>
    <w:rsid w:val="007D0272"/>
    <w:rsid w:val="007D09D3"/>
    <w:rsid w:val="007D0ED3"/>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490B"/>
    <w:rsid w:val="00825060"/>
    <w:rsid w:val="00825813"/>
    <w:rsid w:val="00825C4E"/>
    <w:rsid w:val="00825EB1"/>
    <w:rsid w:val="00826B13"/>
    <w:rsid w:val="00826B4C"/>
    <w:rsid w:val="00826BD9"/>
    <w:rsid w:val="0082737F"/>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53D6"/>
    <w:rsid w:val="0083692D"/>
    <w:rsid w:val="0083774B"/>
    <w:rsid w:val="00837BF5"/>
    <w:rsid w:val="00837D0D"/>
    <w:rsid w:val="00837D5A"/>
    <w:rsid w:val="00840B73"/>
    <w:rsid w:val="00840D1C"/>
    <w:rsid w:val="00841438"/>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9A0"/>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EB"/>
    <w:rsid w:val="00865998"/>
    <w:rsid w:val="00865DB1"/>
    <w:rsid w:val="008671E1"/>
    <w:rsid w:val="0086779C"/>
    <w:rsid w:val="00867A18"/>
    <w:rsid w:val="00867A51"/>
    <w:rsid w:val="0087065A"/>
    <w:rsid w:val="0087091E"/>
    <w:rsid w:val="00870BB0"/>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0EBC"/>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47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0D64"/>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62C"/>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6C15"/>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97B"/>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395"/>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333"/>
    <w:rsid w:val="009674FB"/>
    <w:rsid w:val="00967B81"/>
    <w:rsid w:val="009701A6"/>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3F8A"/>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7D9"/>
    <w:rsid w:val="009E49F9"/>
    <w:rsid w:val="009E4B5A"/>
    <w:rsid w:val="009E4B6A"/>
    <w:rsid w:val="009E56C2"/>
    <w:rsid w:val="009E63B0"/>
    <w:rsid w:val="009E653F"/>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4A8"/>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976"/>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099"/>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38F"/>
    <w:rsid w:val="00AB2487"/>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617"/>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48C3"/>
    <w:rsid w:val="00B35542"/>
    <w:rsid w:val="00B35671"/>
    <w:rsid w:val="00B3619C"/>
    <w:rsid w:val="00B3639B"/>
    <w:rsid w:val="00B36449"/>
    <w:rsid w:val="00B3659E"/>
    <w:rsid w:val="00B36643"/>
    <w:rsid w:val="00B36BE9"/>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78"/>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9BA"/>
    <w:rsid w:val="00B71D59"/>
    <w:rsid w:val="00B71ED9"/>
    <w:rsid w:val="00B71F41"/>
    <w:rsid w:val="00B722A0"/>
    <w:rsid w:val="00B724FF"/>
    <w:rsid w:val="00B72B29"/>
    <w:rsid w:val="00B72B9A"/>
    <w:rsid w:val="00B72C4F"/>
    <w:rsid w:val="00B72FBC"/>
    <w:rsid w:val="00B72FBE"/>
    <w:rsid w:val="00B73B9E"/>
    <w:rsid w:val="00B73CBE"/>
    <w:rsid w:val="00B73E7A"/>
    <w:rsid w:val="00B742D7"/>
    <w:rsid w:val="00B744A0"/>
    <w:rsid w:val="00B74A85"/>
    <w:rsid w:val="00B74CAA"/>
    <w:rsid w:val="00B74DA8"/>
    <w:rsid w:val="00B75586"/>
    <w:rsid w:val="00B75908"/>
    <w:rsid w:val="00B75DF9"/>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1D7"/>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7F3"/>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8B9"/>
    <w:rsid w:val="00C70DA4"/>
    <w:rsid w:val="00C712A0"/>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B61"/>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545"/>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0F39"/>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A4B"/>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5D"/>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3EB"/>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3D57"/>
    <w:rsid w:val="00DA448E"/>
    <w:rsid w:val="00DA48D2"/>
    <w:rsid w:val="00DA4981"/>
    <w:rsid w:val="00DA4AE0"/>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027"/>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E6A"/>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1A6"/>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6BCC"/>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86A"/>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4D4"/>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573"/>
    <w:rsid w:val="00EA4C66"/>
    <w:rsid w:val="00EA4F8F"/>
    <w:rsid w:val="00EA5493"/>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6EE"/>
    <w:rsid w:val="00EF1951"/>
    <w:rsid w:val="00EF1DBE"/>
    <w:rsid w:val="00EF1F06"/>
    <w:rsid w:val="00EF1FA8"/>
    <w:rsid w:val="00EF2079"/>
    <w:rsid w:val="00EF25C2"/>
    <w:rsid w:val="00EF2CA6"/>
    <w:rsid w:val="00EF3A48"/>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0EB"/>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5BC"/>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08C"/>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297"/>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920"/>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0">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466">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35482032">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297340450">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7814677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959016">
      <w:bodyDiv w:val="1"/>
      <w:marLeft w:val="0"/>
      <w:marRight w:val="0"/>
      <w:marTop w:val="0"/>
      <w:marBottom w:val="0"/>
      <w:divBdr>
        <w:top w:val="none" w:sz="0" w:space="0" w:color="auto"/>
        <w:left w:val="none" w:sz="0" w:space="0" w:color="auto"/>
        <w:bottom w:val="none" w:sz="0" w:space="0" w:color="auto"/>
        <w:right w:val="none" w:sz="0" w:space="0" w:color="auto"/>
      </w:divBdr>
    </w:div>
    <w:div w:id="1044862863">
      <w:bodyDiv w:val="1"/>
      <w:marLeft w:val="0"/>
      <w:marRight w:val="0"/>
      <w:marTop w:val="0"/>
      <w:marBottom w:val="0"/>
      <w:divBdr>
        <w:top w:val="none" w:sz="0" w:space="0" w:color="auto"/>
        <w:left w:val="none" w:sz="0" w:space="0" w:color="auto"/>
        <w:bottom w:val="none" w:sz="0" w:space="0" w:color="auto"/>
        <w:right w:val="none" w:sz="0" w:space="0" w:color="auto"/>
      </w:divBdr>
    </w:div>
    <w:div w:id="1119035317">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429834">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26800983">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08070599">
      <w:bodyDiv w:val="1"/>
      <w:marLeft w:val="0"/>
      <w:marRight w:val="0"/>
      <w:marTop w:val="0"/>
      <w:marBottom w:val="0"/>
      <w:divBdr>
        <w:top w:val="none" w:sz="0" w:space="0" w:color="auto"/>
        <w:left w:val="none" w:sz="0" w:space="0" w:color="auto"/>
        <w:bottom w:val="none" w:sz="0" w:space="0" w:color="auto"/>
        <w:right w:val="none" w:sz="0" w:space="0" w:color="auto"/>
      </w:divBdr>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9988653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730955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53068681">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EADCEA-A6B1-44A9-92DB-BA4A6F09F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1234</Words>
  <Characters>7035</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배덕현/선임연구원/차세대표준(연)5G표준Task(duckhyun.bae@lge.com)</cp:lastModifiedBy>
  <cp:revision>4</cp:revision>
  <cp:lastPrinted>2016-05-13T07:55:00Z</cp:lastPrinted>
  <dcterms:created xsi:type="dcterms:W3CDTF">2019-11-08T12:06:00Z</dcterms:created>
  <dcterms:modified xsi:type="dcterms:W3CDTF">2019-11-08T13:04:00Z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